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673" w:rsidRPr="007C743D" w:rsidRDefault="00D209A3" w:rsidP="00D209A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Závěrečný  účet </w:t>
      </w:r>
      <w:r w:rsidR="0065503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a Účetní závěrka </w:t>
      </w:r>
      <w:r w:rsidRPr="007C743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Obce  L i b e l  za rok </w:t>
      </w:r>
      <w:r w:rsidR="00AD4B6C">
        <w:rPr>
          <w:rFonts w:ascii="Times New Roman" w:hAnsi="Times New Roman" w:cs="Times New Roman"/>
          <w:b/>
          <w:i/>
          <w:sz w:val="28"/>
          <w:szCs w:val="28"/>
          <w:u w:val="single"/>
        </w:rPr>
        <w:t>2017</w:t>
      </w:r>
    </w:p>
    <w:p w:rsidR="00D209A3" w:rsidRPr="007C743D" w:rsidRDefault="00D209A3" w:rsidP="00562A7D">
      <w:pPr>
        <w:spacing w:after="0" w:line="240" w:lineRule="auto"/>
        <w:rPr>
          <w:rFonts w:ascii="Times New Roman" w:hAnsi="Times New Roman" w:cs="Times New Roman"/>
        </w:rPr>
      </w:pPr>
      <w:r w:rsidRPr="007C743D">
        <w:rPr>
          <w:rFonts w:ascii="Times New Roman" w:hAnsi="Times New Roman" w:cs="Times New Roman"/>
        </w:rPr>
        <w:t>(§ 17 zákona č. 250/2000 Sb., o rozpočtových pravidlech územních rozpočtů, ve znění platných předpisů</w:t>
      </w:r>
      <w:r w:rsidR="00562A7D" w:rsidRPr="007C743D">
        <w:rPr>
          <w:rFonts w:ascii="Times New Roman" w:hAnsi="Times New Roman" w:cs="Times New Roman"/>
        </w:rPr>
        <w:t>)</w:t>
      </w: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</w:rPr>
      </w:pPr>
    </w:p>
    <w:p w:rsidR="00562A7D" w:rsidRPr="007C743D" w:rsidRDefault="00562A7D" w:rsidP="00562A7D">
      <w:pPr>
        <w:spacing w:after="0" w:line="240" w:lineRule="auto"/>
        <w:rPr>
          <w:rFonts w:ascii="Times New Roman" w:hAnsi="Times New Roman" w:cs="Times New Roman"/>
          <w:b/>
        </w:rPr>
      </w:pPr>
      <w:r w:rsidRPr="007C743D">
        <w:rPr>
          <w:rFonts w:ascii="Times New Roman" w:hAnsi="Times New Roman" w:cs="Times New Roman"/>
          <w:b/>
        </w:rPr>
        <w:t xml:space="preserve">1. Údaje o plnění příjmu a výdajů za rok </w:t>
      </w:r>
      <w:r w:rsidR="00AD4B6C">
        <w:rPr>
          <w:rFonts w:ascii="Times New Roman" w:hAnsi="Times New Roman" w:cs="Times New Roman"/>
          <w:b/>
        </w:rPr>
        <w:t>2017</w:t>
      </w:r>
      <w:r w:rsidRPr="007C743D">
        <w:rPr>
          <w:rFonts w:ascii="Times New Roman" w:hAnsi="Times New Roman" w:cs="Times New Roman"/>
          <w:b/>
        </w:rPr>
        <w:t xml:space="preserve">  </w:t>
      </w:r>
      <w:r w:rsidR="009E4A1D" w:rsidRPr="007C743D">
        <w:rPr>
          <w:rFonts w:ascii="Times New Roman" w:hAnsi="Times New Roman" w:cs="Times New Roman"/>
          <w:b/>
        </w:rPr>
        <w:t>(údaje jsou v tis.Kč)</w:t>
      </w:r>
    </w:p>
    <w:p w:rsidR="00562A7D" w:rsidRPr="007C743D" w:rsidRDefault="00562A7D" w:rsidP="00D209A3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82"/>
        <w:gridCol w:w="1417"/>
        <w:gridCol w:w="1276"/>
        <w:gridCol w:w="1276"/>
        <w:gridCol w:w="1559"/>
      </w:tblGrid>
      <w:tr w:rsidR="003C546A" w:rsidRPr="007C743D" w:rsidTr="003D2136">
        <w:trPr>
          <w:trHeight w:val="262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Schválený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Upravený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Plnění k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 plnění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rozpočet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C546A" w:rsidRPr="007C743D" w:rsidRDefault="003C546A" w:rsidP="006F4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31.12.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 w:rsidR="0056037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 uprav.rozpočtu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FF61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Třída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aňové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9D4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1746,9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2262,82132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3B55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2048,78797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90,5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Nedaňové </w:t>
            </w: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přjmy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B51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274,50441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DD4B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274,50441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Kapitálové příjmy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93023C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Přijaté dotace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984,30393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984,30393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příjmů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0895" w:rsidRDefault="00C30895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C30895" w:rsidRPr="007C743D" w:rsidRDefault="00C30895" w:rsidP="00930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Příjmy celkem po konsol.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1892,23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61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3521,62966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3307,59631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56037A" w:rsidP="00FF11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93,9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Běžné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56037A">
            <w:pPr>
              <w:tabs>
                <w:tab w:val="center" w:pos="608"/>
                <w:tab w:val="right" w:pos="121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="005603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1577,402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2265,20954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3C5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1278,25531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56037A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56,4</w:t>
            </w:r>
          </w:p>
        </w:tc>
      </w:tr>
      <w:tr w:rsidR="003C546A" w:rsidRPr="007C743D" w:rsidTr="00C30895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Tř.6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Kapitál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 výdaje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6037A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182,8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30895" w:rsidRPr="007C743D" w:rsidTr="00C30895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C30895" w:rsidRPr="007C743D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Konsolidace výdajů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3023C" w:rsidRDefault="0093023C" w:rsidP="00930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B144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0895" w:rsidRDefault="0093023C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30895" w:rsidRDefault="00C30895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Výdaje celkem po konsol.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1760,202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5377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2448,00954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56037A" w:rsidP="00270E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1461,05531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59,7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Saldo: Příjmy - výdaje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132,028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CC54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1073,62012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6037A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1846,541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7C6D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Tř.8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Financování  - pol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74FE2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-12,028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74FE2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-953,62012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46A" w:rsidRPr="007C743D" w:rsidRDefault="00774FE2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-1726,541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3C546A" w:rsidP="002D07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Spl.krátkodob.půjč.prostř</w:t>
            </w:r>
            <w:proofErr w:type="spellEnd"/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Přijatý dlouhodobý úvěr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Splátka dl.úvěru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50012D" w:rsidP="002D07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FE2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546A" w:rsidRPr="007C743D" w:rsidRDefault="00774FE2" w:rsidP="00FA7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3C546A" w:rsidRPr="007C743D" w:rsidRDefault="00E14954" w:rsidP="00E14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7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Financování celkem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7C74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-132,028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-1073,62012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D324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-1846,541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46A" w:rsidRPr="007C743D" w:rsidRDefault="0056037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</w:tr>
      <w:tr w:rsidR="003C546A" w:rsidRPr="007C743D" w:rsidTr="003D2136">
        <w:trPr>
          <w:trHeight w:val="250"/>
        </w:trPr>
        <w:tc>
          <w:tcPr>
            <w:tcW w:w="2582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3C546A" w:rsidRPr="007C743D" w:rsidRDefault="003C546A" w:rsidP="009E4A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32489" w:rsidRDefault="00D32489" w:rsidP="0053601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62A7D" w:rsidRPr="0096099A" w:rsidRDefault="009E4A1D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Údaje o plnění rozpočtu příjmů,</w:t>
      </w:r>
      <w:r w:rsidR="000C1C2A" w:rsidRPr="0096099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výdajů a o dalších finančních operacích v plném členění podle rozpočtové skladby jsou k nahl</w:t>
      </w:r>
      <w:r w:rsidR="000C1C2A" w:rsidRPr="0096099A">
        <w:rPr>
          <w:rFonts w:ascii="Times New Roman" w:hAnsi="Times New Roman" w:cs="Times New Roman"/>
        </w:rPr>
        <w:t>édnutí v kanceláři Obce Libel (</w:t>
      </w:r>
      <w:r w:rsidRPr="0096099A">
        <w:rPr>
          <w:rFonts w:ascii="Times New Roman" w:hAnsi="Times New Roman" w:cs="Times New Roman"/>
        </w:rPr>
        <w:t>výkaz FIN 2-12</w:t>
      </w:r>
      <w:r w:rsidR="00AD4B6C">
        <w:rPr>
          <w:rFonts w:ascii="Times New Roman" w:hAnsi="Times New Roman" w:cs="Times New Roman"/>
        </w:rPr>
        <w:t xml:space="preserve"> k 31.12.2017</w:t>
      </w:r>
      <w:r w:rsidR="0056037A">
        <w:rPr>
          <w:rFonts w:ascii="Times New Roman" w:hAnsi="Times New Roman" w:cs="Times New Roman"/>
        </w:rPr>
        <w:t xml:space="preserve"> </w:t>
      </w:r>
      <w:r w:rsidRPr="0096099A">
        <w:rPr>
          <w:rFonts w:ascii="Times New Roman" w:hAnsi="Times New Roman" w:cs="Times New Roman"/>
        </w:rPr>
        <w:t>).</w:t>
      </w:r>
    </w:p>
    <w:p w:rsidR="00D32489" w:rsidRDefault="00D32489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126BF3" w:rsidRDefault="00126BF3" w:rsidP="00D32489">
      <w:pPr>
        <w:spacing w:after="0" w:line="240" w:lineRule="auto"/>
        <w:rPr>
          <w:rFonts w:ascii="Times New Roman" w:hAnsi="Times New Roman" w:cs="Times New Roman"/>
          <w:b/>
        </w:rPr>
      </w:pPr>
    </w:p>
    <w:p w:rsidR="00562A7D" w:rsidRDefault="00CB7508" w:rsidP="00D324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2.Doplňující informace k rozvaze k 31.12.</w:t>
      </w:r>
      <w:r w:rsidR="0056037A">
        <w:rPr>
          <w:rFonts w:ascii="Times New Roman" w:hAnsi="Times New Roman" w:cs="Times New Roman"/>
          <w:b/>
        </w:rPr>
        <w:t>2017</w:t>
      </w:r>
    </w:p>
    <w:p w:rsidR="00CB7508" w:rsidRPr="0096099A" w:rsidRDefault="00CB7508" w:rsidP="00D209A3">
      <w:pPr>
        <w:rPr>
          <w:rFonts w:ascii="Times New Roman" w:hAnsi="Times New Roman" w:cs="Times New Roman"/>
        </w:rPr>
      </w:pPr>
      <w:r w:rsidRPr="0096099A">
        <w:rPr>
          <w:rFonts w:ascii="Times New Roman" w:hAnsi="Times New Roman" w:cs="Times New Roman"/>
        </w:rPr>
        <w:t>Stav na účtech souhlasí se stavem inv</w:t>
      </w:r>
      <w:r w:rsidR="009947AE">
        <w:rPr>
          <w:rFonts w:ascii="Times New Roman" w:hAnsi="Times New Roman" w:cs="Times New Roman"/>
        </w:rPr>
        <w:t>entarizace.  Inventarizační soupis</w:t>
      </w:r>
      <w:r w:rsidRPr="0096099A">
        <w:rPr>
          <w:rFonts w:ascii="Times New Roman" w:hAnsi="Times New Roman" w:cs="Times New Roman"/>
        </w:rPr>
        <w:t xml:space="preserve"> je přílohou závěrečného účtu.</w:t>
      </w:r>
    </w:p>
    <w:p w:rsidR="00CB7508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nehmotn</w:t>
      </w:r>
      <w:r w:rsidR="009947AE">
        <w:rPr>
          <w:rFonts w:ascii="Times New Roman" w:hAnsi="Times New Roman" w:cs="Times New Roman"/>
          <w:u w:val="single"/>
        </w:rPr>
        <w:t>ého majetku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>Kč        131.269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Stav dlouhodobého hmotn</w:t>
      </w:r>
      <w:r w:rsidR="009947AE">
        <w:rPr>
          <w:rFonts w:ascii="Times New Roman" w:hAnsi="Times New Roman" w:cs="Times New Roman"/>
          <w:u w:val="single"/>
        </w:rPr>
        <w:t xml:space="preserve">ého majetku         </w:t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</w:r>
      <w:r w:rsidR="009947AE">
        <w:rPr>
          <w:rFonts w:ascii="Times New Roman" w:hAnsi="Times New Roman" w:cs="Times New Roman"/>
          <w:u w:val="single"/>
        </w:rPr>
        <w:tab/>
        <w:t xml:space="preserve">Kč   </w:t>
      </w:r>
      <w:r w:rsidR="00774FE2">
        <w:rPr>
          <w:rFonts w:ascii="Times New Roman" w:hAnsi="Times New Roman" w:cs="Times New Roman"/>
          <w:u w:val="single"/>
        </w:rPr>
        <w:t>20.648005,86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 toho: pozemky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</w:t>
      </w:r>
      <w:r w:rsidR="00774FE2">
        <w:rPr>
          <w:rFonts w:ascii="Times New Roman" w:hAnsi="Times New Roman" w:cs="Times New Roman"/>
          <w:u w:val="single"/>
        </w:rPr>
        <w:t>2.124.849,--</w:t>
      </w: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z </w:t>
      </w:r>
      <w:r w:rsidR="00774FE2">
        <w:rPr>
          <w:rFonts w:ascii="Times New Roman" w:hAnsi="Times New Roman" w:cs="Times New Roman"/>
          <w:u w:val="single"/>
        </w:rPr>
        <w:t>toho: majetek pořízený v r. 2017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Kč     </w:t>
      </w:r>
      <w:r w:rsidR="00774FE2">
        <w:rPr>
          <w:rFonts w:ascii="Times New Roman" w:hAnsi="Times New Roman" w:cs="Times New Roman"/>
          <w:u w:val="single"/>
        </w:rPr>
        <w:t xml:space="preserve">  245.530,--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Zůstatek ZBÚ Česká spořitelna a.s.</w:t>
      </w:r>
      <w:r w:rsidR="006B7BF9">
        <w:rPr>
          <w:rFonts w:ascii="Times New Roman" w:hAnsi="Times New Roman" w:cs="Times New Roman"/>
          <w:u w:val="single"/>
        </w:rPr>
        <w:t>, ČNB</w:t>
      </w:r>
      <w:r w:rsidR="006B7BF9">
        <w:rPr>
          <w:rFonts w:ascii="Times New Roman" w:hAnsi="Times New Roman" w:cs="Times New Roman"/>
          <w:u w:val="single"/>
        </w:rPr>
        <w:tab/>
      </w:r>
      <w:r w:rsidR="006B7BF9">
        <w:rPr>
          <w:rFonts w:ascii="Times New Roman" w:hAnsi="Times New Roman" w:cs="Times New Roman"/>
          <w:u w:val="single"/>
        </w:rPr>
        <w:tab/>
        <w:t xml:space="preserve">            </w:t>
      </w:r>
      <w:r w:rsidR="009947AE">
        <w:rPr>
          <w:rFonts w:ascii="Times New Roman" w:hAnsi="Times New Roman" w:cs="Times New Roman"/>
          <w:u w:val="single"/>
        </w:rPr>
        <w:t xml:space="preserve">             </w:t>
      </w:r>
      <w:r w:rsidR="006B7BF9">
        <w:rPr>
          <w:rFonts w:ascii="Times New Roman" w:hAnsi="Times New Roman" w:cs="Times New Roman"/>
          <w:u w:val="single"/>
        </w:rPr>
        <w:t xml:space="preserve"> </w:t>
      </w:r>
      <w:r w:rsidR="00774FE2">
        <w:rPr>
          <w:rFonts w:ascii="Times New Roman" w:hAnsi="Times New Roman" w:cs="Times New Roman"/>
          <w:u w:val="single"/>
        </w:rPr>
        <w:t>Kč    2.610.288,03</w:t>
      </w:r>
    </w:p>
    <w:p w:rsidR="00982A77" w:rsidRDefault="00982A77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Pohledávky</w:t>
      </w:r>
      <w:r w:rsidR="001450D5">
        <w:rPr>
          <w:rFonts w:ascii="Times New Roman" w:hAnsi="Times New Roman" w:cs="Times New Roman"/>
          <w:u w:val="single"/>
        </w:rPr>
        <w:t xml:space="preserve"> (místní poplatky)</w:t>
      </w:r>
      <w:r w:rsidR="001450D5">
        <w:rPr>
          <w:rFonts w:ascii="Times New Roman" w:hAnsi="Times New Roman" w:cs="Times New Roman"/>
          <w:u w:val="single"/>
        </w:rPr>
        <w:tab/>
        <w:t xml:space="preserve">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</w:t>
      </w:r>
      <w:r w:rsidR="001450D5">
        <w:rPr>
          <w:rFonts w:ascii="Times New Roman" w:hAnsi="Times New Roman" w:cs="Times New Roman"/>
          <w:u w:val="single"/>
        </w:rPr>
        <w:t xml:space="preserve">  5.6</w:t>
      </w:r>
      <w:r w:rsidR="00980063">
        <w:rPr>
          <w:rFonts w:ascii="Times New Roman" w:hAnsi="Times New Roman" w:cs="Times New Roman"/>
          <w:u w:val="single"/>
        </w:rPr>
        <w:t>00</w:t>
      </w:r>
      <w:r>
        <w:rPr>
          <w:rFonts w:ascii="Times New Roman" w:hAnsi="Times New Roman" w:cs="Times New Roman"/>
          <w:u w:val="single"/>
        </w:rPr>
        <w:t>,-</w:t>
      </w:r>
    </w:p>
    <w:p w:rsidR="00982A77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D5378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u w:val="single"/>
        </w:rPr>
        <w:t xml:space="preserve"> poskytnuté provoz</w:t>
      </w:r>
      <w:r w:rsidR="006B7BF9">
        <w:rPr>
          <w:rFonts w:ascii="Times New Roman" w:hAnsi="Times New Roman" w:cs="Times New Roman"/>
          <w:u w:val="single"/>
        </w:rPr>
        <w:t xml:space="preserve"> zálohy –</w:t>
      </w:r>
      <w:proofErr w:type="spellStart"/>
      <w:r w:rsidR="006B7BF9">
        <w:rPr>
          <w:rFonts w:ascii="Times New Roman" w:hAnsi="Times New Roman" w:cs="Times New Roman"/>
          <w:u w:val="single"/>
        </w:rPr>
        <w:t>el.energie</w:t>
      </w:r>
      <w:proofErr w:type="spellEnd"/>
      <w:r w:rsidR="006B7BF9">
        <w:rPr>
          <w:rFonts w:ascii="Times New Roman" w:hAnsi="Times New Roman" w:cs="Times New Roman"/>
          <w:u w:val="single"/>
        </w:rPr>
        <w:t xml:space="preserve">               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Kč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50D5">
        <w:rPr>
          <w:rFonts w:ascii="Times New Roman" w:hAnsi="Times New Roman" w:cs="Times New Roman"/>
          <w:u w:val="single"/>
        </w:rPr>
        <w:t xml:space="preserve">      6.20</w:t>
      </w:r>
      <w:r w:rsidR="00980063"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/>
          <w:u w:val="single"/>
        </w:rPr>
        <w:t>,-</w:t>
      </w:r>
    </w:p>
    <w:p w:rsidR="00444483" w:rsidRDefault="0007229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</w:t>
      </w:r>
      <w:r w:rsidR="00444483">
        <w:rPr>
          <w:rFonts w:ascii="Times New Roman" w:hAnsi="Times New Roman" w:cs="Times New Roman"/>
        </w:rPr>
        <w:t xml:space="preserve">   </w:t>
      </w:r>
      <w:r w:rsidR="00240BB7">
        <w:rPr>
          <w:rFonts w:ascii="Times New Roman" w:hAnsi="Times New Roman" w:cs="Times New Roman"/>
        </w:rPr>
        <w:t xml:space="preserve"> </w:t>
      </w:r>
      <w:r w:rsidR="00444483">
        <w:rPr>
          <w:rFonts w:ascii="Times New Roman" w:hAnsi="Times New Roman" w:cs="Times New Roman"/>
        </w:rPr>
        <w:t xml:space="preserve"> </w:t>
      </w:r>
      <w:r w:rsidR="00444483" w:rsidRPr="00444483">
        <w:rPr>
          <w:rFonts w:ascii="Times New Roman" w:hAnsi="Times New Roman" w:cs="Times New Roman"/>
          <w:u w:val="single"/>
        </w:rPr>
        <w:t>mzdy</w:t>
      </w:r>
      <w:r w:rsidR="001450D5">
        <w:rPr>
          <w:rFonts w:ascii="Times New Roman" w:hAnsi="Times New Roman" w:cs="Times New Roman"/>
          <w:u w:val="single"/>
        </w:rPr>
        <w:t xml:space="preserve">  12/17</w:t>
      </w:r>
      <w:r w:rsidR="00444483">
        <w:rPr>
          <w:rFonts w:ascii="Times New Roman" w:hAnsi="Times New Roman" w:cs="Times New Roman"/>
          <w:u w:val="single"/>
        </w:rPr>
        <w:t xml:space="preserve">,odvod  </w:t>
      </w:r>
      <w:proofErr w:type="spellStart"/>
      <w:r w:rsidR="00444483">
        <w:rPr>
          <w:rFonts w:ascii="Times New Roman" w:hAnsi="Times New Roman" w:cs="Times New Roman"/>
          <w:u w:val="single"/>
        </w:rPr>
        <w:t>soc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.+ </w:t>
      </w:r>
      <w:proofErr w:type="spellStart"/>
      <w:r w:rsidR="00444483">
        <w:rPr>
          <w:rFonts w:ascii="Times New Roman" w:hAnsi="Times New Roman" w:cs="Times New Roman"/>
          <w:u w:val="single"/>
        </w:rPr>
        <w:t>zdr.pojištění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a daní</w:t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</w:r>
      <w:r w:rsidR="00444483">
        <w:rPr>
          <w:rFonts w:ascii="Times New Roman" w:hAnsi="Times New Roman" w:cs="Times New Roman"/>
          <w:u w:val="single"/>
        </w:rPr>
        <w:tab/>
        <w:t xml:space="preserve">Kč      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50D5">
        <w:rPr>
          <w:rFonts w:ascii="Times New Roman" w:hAnsi="Times New Roman" w:cs="Times New Roman"/>
          <w:u w:val="single"/>
        </w:rPr>
        <w:t xml:space="preserve"> 35.008,-</w:t>
      </w:r>
    </w:p>
    <w:p w:rsidR="00444483" w:rsidRDefault="00444483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</w:t>
      </w:r>
      <w:r w:rsidRPr="00444483">
        <w:rPr>
          <w:rFonts w:ascii="Times New Roman" w:hAnsi="Times New Roman" w:cs="Times New Roman"/>
          <w:u w:val="single"/>
        </w:rPr>
        <w:t>závazek ke</w:t>
      </w:r>
      <w:r>
        <w:rPr>
          <w:rFonts w:ascii="Times New Roman" w:hAnsi="Times New Roman" w:cs="Times New Roman"/>
          <w:u w:val="single"/>
        </w:rPr>
        <w:t xml:space="preserve"> státnímu rozp</w:t>
      </w:r>
      <w:r w:rsidR="006B7BF9">
        <w:rPr>
          <w:rFonts w:ascii="Times New Roman" w:hAnsi="Times New Roman" w:cs="Times New Roman"/>
          <w:u w:val="single"/>
        </w:rPr>
        <w:t>očtu</w:t>
      </w:r>
      <w:r w:rsidR="001450D5">
        <w:rPr>
          <w:rFonts w:ascii="Times New Roman" w:hAnsi="Times New Roman" w:cs="Times New Roman"/>
          <w:u w:val="single"/>
        </w:rPr>
        <w:t xml:space="preserve"> (vratka dotace volby)               </w:t>
      </w:r>
      <w:r w:rsidR="006B7BF9">
        <w:rPr>
          <w:rFonts w:ascii="Times New Roman" w:hAnsi="Times New Roman" w:cs="Times New Roman"/>
          <w:u w:val="single"/>
        </w:rPr>
        <w:t xml:space="preserve">    </w:t>
      </w:r>
      <w:r>
        <w:rPr>
          <w:rFonts w:ascii="Times New Roman" w:hAnsi="Times New Roman" w:cs="Times New Roman"/>
          <w:u w:val="single"/>
        </w:rPr>
        <w:tab/>
        <w:t>Kč</w:t>
      </w:r>
      <w:r w:rsidR="00D53782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 xml:space="preserve">      </w:t>
      </w:r>
      <w:r w:rsidR="00BF5D9D">
        <w:rPr>
          <w:rFonts w:ascii="Times New Roman" w:hAnsi="Times New Roman" w:cs="Times New Roman"/>
          <w:u w:val="single"/>
        </w:rPr>
        <w:t xml:space="preserve">    9.486</w:t>
      </w:r>
      <w:r w:rsidR="00D53782">
        <w:rPr>
          <w:rFonts w:ascii="Times New Roman" w:hAnsi="Times New Roman" w:cs="Times New Roman"/>
          <w:u w:val="single"/>
        </w:rPr>
        <w:t>,-</w:t>
      </w:r>
    </w:p>
    <w:p w:rsidR="00444483" w:rsidRDefault="001450D5" w:rsidP="00982A77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Zůstatek </w:t>
      </w:r>
      <w:proofErr w:type="spellStart"/>
      <w:r>
        <w:rPr>
          <w:rFonts w:ascii="Times New Roman" w:hAnsi="Times New Roman" w:cs="Times New Roman"/>
          <w:u w:val="single"/>
        </w:rPr>
        <w:t>dlouhodob</w:t>
      </w:r>
      <w:proofErr w:type="spellEnd"/>
      <w:r>
        <w:rPr>
          <w:rFonts w:ascii="Times New Roman" w:hAnsi="Times New Roman" w:cs="Times New Roman"/>
          <w:u w:val="single"/>
        </w:rPr>
        <w:t>. úvěr. ú</w:t>
      </w:r>
      <w:r w:rsidR="00444483">
        <w:rPr>
          <w:rFonts w:ascii="Times New Roman" w:hAnsi="Times New Roman" w:cs="Times New Roman"/>
          <w:u w:val="single"/>
        </w:rPr>
        <w:t xml:space="preserve">čtu </w:t>
      </w:r>
      <w:proofErr w:type="spellStart"/>
      <w:r w:rsidR="00444483">
        <w:rPr>
          <w:rFonts w:ascii="Times New Roman" w:hAnsi="Times New Roman" w:cs="Times New Roman"/>
          <w:u w:val="single"/>
        </w:rPr>
        <w:t>Č.spořitelny</w:t>
      </w:r>
      <w:proofErr w:type="spellEnd"/>
      <w:r w:rsidR="00444483">
        <w:rPr>
          <w:rFonts w:ascii="Times New Roman" w:hAnsi="Times New Roman" w:cs="Times New Roman"/>
          <w:u w:val="single"/>
        </w:rPr>
        <w:t xml:space="preserve"> – vodovodní přípojky </w:t>
      </w:r>
      <w:r w:rsidR="00444483">
        <w:rPr>
          <w:rFonts w:ascii="Times New Roman" w:hAnsi="Times New Roman" w:cs="Times New Roman"/>
          <w:u w:val="single"/>
        </w:rPr>
        <w:tab/>
        <w:t xml:space="preserve">Kč     </w:t>
      </w:r>
      <w:r w:rsidR="00D53782">
        <w:rPr>
          <w:rFonts w:ascii="Times New Roman" w:hAnsi="Times New Roman" w:cs="Times New Roman"/>
          <w:u w:val="single"/>
        </w:rPr>
        <w:t xml:space="preserve">   </w:t>
      </w:r>
      <w:r w:rsidR="00353092">
        <w:rPr>
          <w:rFonts w:ascii="Times New Roman" w:hAnsi="Times New Roman" w:cs="Times New Roman"/>
          <w:u w:val="single"/>
        </w:rPr>
        <w:t xml:space="preserve"> </w:t>
      </w:r>
      <w:r w:rsidR="00142CE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190.000</w:t>
      </w:r>
      <w:r w:rsidR="00444483">
        <w:rPr>
          <w:rFonts w:ascii="Times New Roman" w:hAnsi="Times New Roman" w:cs="Times New Roman"/>
          <w:u w:val="single"/>
        </w:rPr>
        <w:t>,-</w:t>
      </w:r>
    </w:p>
    <w:p w:rsidR="00072293" w:rsidRDefault="00072293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</w:rPr>
      </w:pPr>
    </w:p>
    <w:p w:rsidR="00E14954" w:rsidRDefault="00E14954" w:rsidP="00982A77">
      <w:pPr>
        <w:spacing w:after="0" w:line="240" w:lineRule="auto"/>
        <w:rPr>
          <w:rFonts w:ascii="Times New Roman" w:hAnsi="Times New Roman" w:cs="Times New Roman"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3.</w:t>
      </w:r>
      <w:r w:rsidR="000C1C2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Vyúčtování finančních vztahů ke státnímu rozpočtu a ostatním rozpočtům veřejné úrovně</w:t>
      </w: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6E653C" w:rsidRDefault="006E653C" w:rsidP="00982A77">
      <w:pPr>
        <w:spacing w:after="0" w:line="240" w:lineRule="auto"/>
        <w:rPr>
          <w:rFonts w:ascii="Times New Roman" w:hAnsi="Times New Roman" w:cs="Times New Roman"/>
          <w:b/>
        </w:rPr>
      </w:pPr>
    </w:p>
    <w:p w:rsidR="009B3421" w:rsidRDefault="006E653C" w:rsidP="005360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Dotace přijaté ze státního rozpočtu a osta</w:t>
      </w:r>
      <w:r w:rsidR="002C72B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ních rozpočtů územní úrovně do rozpočtu obce Libel za rok </w:t>
      </w:r>
      <w:r w:rsidR="00C3042F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činily celkem </w:t>
      </w:r>
      <w:r w:rsidR="00C3042F">
        <w:rPr>
          <w:rFonts w:ascii="Times New Roman" w:hAnsi="Times New Roman" w:cs="Times New Roman"/>
        </w:rPr>
        <w:t xml:space="preserve"> 984.303,93</w:t>
      </w:r>
      <w:r w:rsidR="00536013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>- Kč. Rozpis přijatých dotací a jejich čerpání v průběhu roku</w:t>
      </w:r>
      <w:r w:rsidR="0098416D">
        <w:rPr>
          <w:rFonts w:ascii="Times New Roman" w:hAnsi="Times New Roman" w:cs="Times New Roman"/>
        </w:rPr>
        <w:t xml:space="preserve"> </w:t>
      </w:r>
      <w:r w:rsidR="00C3042F">
        <w:rPr>
          <w:rFonts w:ascii="Times New Roman" w:hAnsi="Times New Roman" w:cs="Times New Roman"/>
        </w:rPr>
        <w:t>2017</w:t>
      </w:r>
      <w:r w:rsidR="00A1374A">
        <w:rPr>
          <w:rFonts w:ascii="Times New Roman" w:hAnsi="Times New Roman" w:cs="Times New Roman"/>
        </w:rPr>
        <w:t xml:space="preserve"> je zpracován v tabulce.</w:t>
      </w:r>
      <w:r w:rsidR="00142CED">
        <w:rPr>
          <w:rFonts w:ascii="Times New Roman" w:hAnsi="Times New Roman" w:cs="Times New Roman"/>
        </w:rPr>
        <w:t xml:space="preserve"> </w:t>
      </w: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385"/>
        <w:gridCol w:w="913"/>
        <w:gridCol w:w="2569"/>
        <w:gridCol w:w="1032"/>
        <w:gridCol w:w="1032"/>
        <w:gridCol w:w="1037"/>
        <w:gridCol w:w="1027"/>
      </w:tblGrid>
      <w:tr w:rsidR="001C695B" w:rsidRPr="001C695B" w:rsidTr="00BF5D9D">
        <w:trPr>
          <w:trHeight w:val="305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1C695B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Poskytovatel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Úz</w:t>
            </w:r>
            <w:proofErr w:type="spellEnd"/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ORG</w:t>
            </w: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Rozpočet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Čerpání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Výkon státní správy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5780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5780</w:t>
            </w:r>
            <w:r w:rsidR="00E149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08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KÚ HK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98071</w:t>
            </w:r>
            <w:r w:rsidR="00A13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Volby do zastupitelstev krajů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18467</w:t>
            </w:r>
            <w:r w:rsidR="004C2C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95B" w:rsidRPr="003F0820" w:rsidRDefault="00C3042F" w:rsidP="00C3042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8981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1C695B" w:rsidRPr="003F0820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</w:tr>
      <w:tr w:rsidR="004C2CD3" w:rsidRPr="001C695B" w:rsidTr="00BF5D9D">
        <w:trPr>
          <w:trHeight w:val="290"/>
        </w:trPr>
        <w:tc>
          <w:tcPr>
            <w:tcW w:w="13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BF5D9D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 ŽP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15974</w:t>
            </w:r>
          </w:p>
        </w:tc>
        <w:tc>
          <w:tcPr>
            <w:tcW w:w="2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4C2CD3" w:rsidP="00BF5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Inv.dotace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="00BF5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sběrná místa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908036,93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CD3" w:rsidRDefault="00C3042F" w:rsidP="004C2C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908036,93</w:t>
            </w:r>
          </w:p>
        </w:tc>
        <w:tc>
          <w:tcPr>
            <w:tcW w:w="102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4C2CD3" w:rsidRDefault="004C2CD3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A27F8" w:rsidRPr="001C695B" w:rsidTr="00BF5D9D">
        <w:trPr>
          <w:trHeight w:val="305"/>
        </w:trPr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Pr="003F0820" w:rsidRDefault="003A27F8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BF5D9D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984.303,93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A27F8" w:rsidRDefault="00BF5D9D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974.817,93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A27F8" w:rsidRDefault="003A27F8" w:rsidP="004C2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695B" w:rsidRPr="001C695B" w:rsidTr="00BF5D9D">
        <w:trPr>
          <w:trHeight w:val="290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3F0820" w:rsidRDefault="001C695B" w:rsidP="001C69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974B16">
        <w:rPr>
          <w:rFonts w:ascii="Times New Roman" w:hAnsi="Times New Roman" w:cs="Times New Roman"/>
          <w:b/>
          <w:color w:val="000000"/>
        </w:rPr>
        <w:t>4. Poskytnuté příspěvky</w:t>
      </w:r>
    </w:p>
    <w:p w:rsidR="00974B16" w:rsidRDefault="00974B16" w:rsidP="00A55266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974B16" w:rsidRDefault="00974B16" w:rsidP="00781E0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Obec Libel poskytla mimo mandatorních členských příspěvků dobrovolným svazkům obcích a spolkům, kterých je členem, tyto další příspěvky a dary: Kč 1</w:t>
      </w:r>
      <w:r w:rsidR="00781E07">
        <w:rPr>
          <w:rFonts w:ascii="Times New Roman" w:hAnsi="Times New Roman" w:cs="Times New Roman"/>
          <w:color w:val="000000"/>
        </w:rPr>
        <w:t>.</w:t>
      </w:r>
      <w:r w:rsidR="004C2CD3">
        <w:rPr>
          <w:rFonts w:ascii="Times New Roman" w:hAnsi="Times New Roman" w:cs="Times New Roman"/>
          <w:color w:val="000000"/>
        </w:rPr>
        <w:t>000,00 dar ČSTV, Kč 182.</w:t>
      </w:r>
      <w:r>
        <w:rPr>
          <w:rFonts w:ascii="Times New Roman" w:hAnsi="Times New Roman" w:cs="Times New Roman"/>
          <w:color w:val="000000"/>
        </w:rPr>
        <w:t xml:space="preserve">800,00 příspěvek Vodovodnímu sdružení Císařská studánka – splátka úvěru za vodovod, Kč </w:t>
      </w:r>
      <w:r w:rsidR="004C2CD3">
        <w:rPr>
          <w:rFonts w:ascii="Times New Roman" w:hAnsi="Times New Roman" w:cs="Times New Roman"/>
          <w:color w:val="000000"/>
        </w:rPr>
        <w:t>1.500,00 členský příspě</w:t>
      </w:r>
      <w:r w:rsidR="004142E6">
        <w:rPr>
          <w:rFonts w:ascii="Times New Roman" w:hAnsi="Times New Roman" w:cs="Times New Roman"/>
          <w:color w:val="000000"/>
        </w:rPr>
        <w:t>vek Sdružení SPLAV z.s., Kč 1.45</w:t>
      </w:r>
      <w:r w:rsidR="004C2CD3">
        <w:rPr>
          <w:rFonts w:ascii="Times New Roman" w:hAnsi="Times New Roman" w:cs="Times New Roman"/>
          <w:color w:val="000000"/>
        </w:rPr>
        <w:t>0,00 členský p</w:t>
      </w:r>
      <w:r w:rsidR="004142E6">
        <w:rPr>
          <w:rFonts w:ascii="Times New Roman" w:hAnsi="Times New Roman" w:cs="Times New Roman"/>
          <w:color w:val="000000"/>
        </w:rPr>
        <w:t xml:space="preserve">oplatek DSO </w:t>
      </w:r>
      <w:proofErr w:type="spellStart"/>
      <w:r w:rsidR="004142E6">
        <w:rPr>
          <w:rFonts w:ascii="Times New Roman" w:hAnsi="Times New Roman" w:cs="Times New Roman"/>
          <w:color w:val="000000"/>
        </w:rPr>
        <w:t>Rychnovsko</w:t>
      </w:r>
      <w:proofErr w:type="spellEnd"/>
      <w:r w:rsidR="004142E6">
        <w:rPr>
          <w:rFonts w:ascii="Times New Roman" w:hAnsi="Times New Roman" w:cs="Times New Roman"/>
          <w:color w:val="000000"/>
        </w:rPr>
        <w:t>, Kč 436</w:t>
      </w:r>
      <w:r w:rsidR="004C2CD3">
        <w:rPr>
          <w:rFonts w:ascii="Times New Roman" w:hAnsi="Times New Roman" w:cs="Times New Roman"/>
          <w:color w:val="000000"/>
        </w:rPr>
        <w:t>,00 členský poplatek DSO Svazek Dolní Bělá.</w:t>
      </w:r>
      <w:r w:rsidR="00781E07">
        <w:rPr>
          <w:rFonts w:ascii="Times New Roman" w:hAnsi="Times New Roman" w:cs="Times New Roman"/>
          <w:color w:val="000000"/>
        </w:rPr>
        <w:t xml:space="preserve"> Příspěvky byly poskytnuty na základě smluv nebo fakturace.</w:t>
      </w:r>
    </w:p>
    <w:p w:rsidR="00781E07" w:rsidRPr="00974B16" w:rsidRDefault="00781E07" w:rsidP="00A55266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A55266" w:rsidRDefault="00974B16" w:rsidP="00A5526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A55266">
        <w:rPr>
          <w:rFonts w:ascii="Times New Roman" w:hAnsi="Times New Roman" w:cs="Times New Roman"/>
          <w:b/>
        </w:rPr>
        <w:t xml:space="preserve">. Zpráva o výsledku přezkoumání hospodaření Obce Libel za rok </w:t>
      </w:r>
      <w:r w:rsidR="004142E6">
        <w:rPr>
          <w:rFonts w:ascii="Times New Roman" w:hAnsi="Times New Roman" w:cs="Times New Roman"/>
          <w:b/>
        </w:rPr>
        <w:t>2017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b/>
        </w:rPr>
      </w:pPr>
    </w:p>
    <w:p w:rsidR="00A55266" w:rsidRDefault="00A55266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Přezkoumání hospodaření provedly</w:t>
      </w:r>
      <w:r w:rsidR="008B7998">
        <w:rPr>
          <w:rFonts w:ascii="Times New Roman" w:hAnsi="Times New Roman" w:cs="Times New Roman"/>
        </w:rPr>
        <w:t xml:space="preserve"> </w:t>
      </w:r>
      <w:r w:rsidR="004142E6">
        <w:rPr>
          <w:rFonts w:ascii="Times New Roman" w:hAnsi="Times New Roman" w:cs="Times New Roman"/>
        </w:rPr>
        <w:t xml:space="preserve">Markéta </w:t>
      </w:r>
      <w:proofErr w:type="spellStart"/>
      <w:r w:rsidR="004142E6">
        <w:rPr>
          <w:rFonts w:ascii="Times New Roman" w:hAnsi="Times New Roman" w:cs="Times New Roman"/>
        </w:rPr>
        <w:t>Fejková</w:t>
      </w:r>
      <w:proofErr w:type="spellEnd"/>
      <w:r w:rsidR="004142E6">
        <w:rPr>
          <w:rFonts w:ascii="Times New Roman" w:hAnsi="Times New Roman" w:cs="Times New Roman"/>
        </w:rPr>
        <w:t>, Bc. Kateřina Krčková a Renata Lorencová</w:t>
      </w:r>
      <w:r>
        <w:rPr>
          <w:rFonts w:ascii="Times New Roman" w:hAnsi="Times New Roman" w:cs="Times New Roman"/>
        </w:rPr>
        <w:t xml:space="preserve">, </w:t>
      </w:r>
      <w:r w:rsidR="00126BF3">
        <w:rPr>
          <w:rFonts w:ascii="Times New Roman" w:hAnsi="Times New Roman" w:cs="Times New Roman"/>
        </w:rPr>
        <w:t>kontroloři</w:t>
      </w:r>
      <w:r>
        <w:rPr>
          <w:rFonts w:ascii="Times New Roman" w:hAnsi="Times New Roman" w:cs="Times New Roman"/>
        </w:rPr>
        <w:t xml:space="preserve"> Krajského úřadu Králov</w:t>
      </w:r>
      <w:r w:rsidR="00EB118C">
        <w:rPr>
          <w:rFonts w:ascii="Times New Roman" w:hAnsi="Times New Roman" w:cs="Times New Roman"/>
        </w:rPr>
        <w:t>é</w:t>
      </w:r>
      <w:r w:rsidR="009801E6">
        <w:rPr>
          <w:rFonts w:ascii="Times New Roman" w:hAnsi="Times New Roman" w:cs="Times New Roman"/>
        </w:rPr>
        <w:t>hradeckého kraje</w:t>
      </w:r>
      <w:r>
        <w:rPr>
          <w:rFonts w:ascii="Times New Roman" w:hAnsi="Times New Roman" w:cs="Times New Roman"/>
        </w:rPr>
        <w:t>. Přezkoumání bylo provedeno v souladu se zákonem č. 420/2004 Sb. o přezkoumávání hospodaření územní samosprávních celků a dobrovolnýc</w:t>
      </w:r>
      <w:r w:rsidR="008B7998">
        <w:rPr>
          <w:rFonts w:ascii="Times New Roman" w:hAnsi="Times New Roman" w:cs="Times New Roman"/>
        </w:rPr>
        <w:t>h sv</w:t>
      </w:r>
      <w:r w:rsidR="00126BF3">
        <w:rPr>
          <w:rFonts w:ascii="Times New Roman" w:hAnsi="Times New Roman" w:cs="Times New Roman"/>
        </w:rPr>
        <w:t xml:space="preserve">azků obcí, v termínech </w:t>
      </w:r>
      <w:r w:rsidR="004142E6">
        <w:rPr>
          <w:rFonts w:ascii="Times New Roman" w:hAnsi="Times New Roman" w:cs="Times New Roman"/>
        </w:rPr>
        <w:t>13.9.2017</w:t>
      </w:r>
      <w:r w:rsidR="00A1374A">
        <w:rPr>
          <w:rFonts w:ascii="Times New Roman" w:hAnsi="Times New Roman" w:cs="Times New Roman"/>
        </w:rPr>
        <w:t xml:space="preserve"> ( dílčí přezkum) a </w:t>
      </w:r>
      <w:r w:rsidR="004142E6">
        <w:rPr>
          <w:rFonts w:ascii="Times New Roman" w:hAnsi="Times New Roman" w:cs="Times New Roman"/>
        </w:rPr>
        <w:t>26.2.2018.</w:t>
      </w:r>
    </w:p>
    <w:p w:rsidR="00A55266" w:rsidRPr="002103C1" w:rsidRDefault="00441A50" w:rsidP="002103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Závěr zprávy: </w:t>
      </w:r>
      <w:r w:rsidR="008B7998">
        <w:rPr>
          <w:rFonts w:ascii="Times New Roman" w:hAnsi="Times New Roman" w:cs="Times New Roman"/>
          <w:b/>
        </w:rPr>
        <w:t>Nebyly zjištěny chyby a nedostatky.</w:t>
      </w:r>
    </w:p>
    <w:p w:rsidR="00A55266" w:rsidRDefault="00A55266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Plné znění zprávy o provedeném přezkoumání hospodaření Obce Libel za rok </w:t>
      </w:r>
      <w:r w:rsidR="004142E6"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 xml:space="preserve"> je přílohou závěrečného účtu.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Účetn</w:t>
      </w:r>
      <w:r w:rsidR="004142E6">
        <w:rPr>
          <w:rFonts w:ascii="Times New Roman" w:hAnsi="Times New Roman" w:cs="Times New Roman"/>
          <w:b/>
        </w:rPr>
        <w:t>í závěrka Obce Libel za rok 2017</w:t>
      </w:r>
    </w:p>
    <w:p w:rsidR="00655035" w:rsidRDefault="00655035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55035" w:rsidRPr="00655035" w:rsidRDefault="00C71579" w:rsidP="00441A5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bude projednávat účetní závěrku Obce Libel dle</w:t>
      </w:r>
      <w:r w:rsidR="004142E6">
        <w:rPr>
          <w:rFonts w:ascii="Times New Roman" w:hAnsi="Times New Roman" w:cs="Times New Roman"/>
        </w:rPr>
        <w:t xml:space="preserve"> závěrečných výkazů k 31.12.2017</w:t>
      </w:r>
      <w:r>
        <w:rPr>
          <w:rFonts w:ascii="Times New Roman" w:hAnsi="Times New Roman" w:cs="Times New Roman"/>
        </w:rPr>
        <w:t xml:space="preserve"> vč. převodu </w:t>
      </w:r>
      <w:r w:rsidR="004142E6">
        <w:rPr>
          <w:rFonts w:ascii="Times New Roman" w:hAnsi="Times New Roman" w:cs="Times New Roman"/>
        </w:rPr>
        <w:t>výsledku hospodaření za rok 2017</w:t>
      </w:r>
      <w:r>
        <w:rPr>
          <w:rFonts w:ascii="Times New Roman" w:hAnsi="Times New Roman" w:cs="Times New Roman"/>
        </w:rPr>
        <w:t xml:space="preserve"> ve schvalova</w:t>
      </w:r>
      <w:r w:rsidR="00A1374A">
        <w:rPr>
          <w:rFonts w:ascii="Times New Roman" w:hAnsi="Times New Roman" w:cs="Times New Roman"/>
        </w:rPr>
        <w:t>cí</w:t>
      </w:r>
      <w:r w:rsidR="004142E6">
        <w:rPr>
          <w:rFonts w:ascii="Times New Roman" w:hAnsi="Times New Roman" w:cs="Times New Roman"/>
        </w:rPr>
        <w:t>m řízení ve výši Kč 689.801,29</w:t>
      </w:r>
      <w:r>
        <w:rPr>
          <w:rFonts w:ascii="Times New Roman" w:hAnsi="Times New Roman" w:cs="Times New Roman"/>
        </w:rPr>
        <w:t xml:space="preserve"> na SÚ 432 Výsledek hospodaření minulých účetní období</w:t>
      </w:r>
      <w:r w:rsidR="00126BF3">
        <w:rPr>
          <w:rFonts w:ascii="Times New Roman" w:hAnsi="Times New Roman" w:cs="Times New Roman"/>
        </w:rPr>
        <w:t xml:space="preserve">. Celkové výnosy Kč </w:t>
      </w:r>
      <w:r w:rsidR="004142E6">
        <w:rPr>
          <w:rFonts w:ascii="Times New Roman" w:hAnsi="Times New Roman" w:cs="Times New Roman"/>
        </w:rPr>
        <w:t>2.425.557,60</w:t>
      </w:r>
      <w:r w:rsidR="00EB118C">
        <w:rPr>
          <w:rFonts w:ascii="Times New Roman" w:hAnsi="Times New Roman" w:cs="Times New Roman"/>
        </w:rPr>
        <w:t xml:space="preserve">, celkové výdaje Kč </w:t>
      </w:r>
      <w:r w:rsidR="004142E6">
        <w:rPr>
          <w:rFonts w:ascii="Times New Roman" w:hAnsi="Times New Roman" w:cs="Times New Roman"/>
        </w:rPr>
        <w:t>1.735.756,31.</w:t>
      </w:r>
    </w:p>
    <w:p w:rsidR="00A55266" w:rsidRDefault="00EC4E0E" w:rsidP="00441A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Přílohy závěrečného účtu a účetní závěrky</w:t>
      </w:r>
      <w:r w:rsidR="00A55266">
        <w:rPr>
          <w:rFonts w:ascii="Times New Roman" w:hAnsi="Times New Roman" w:cs="Times New Roman"/>
          <w:b/>
        </w:rPr>
        <w:t xml:space="preserve"> Obce Libel za rok </w:t>
      </w:r>
      <w:r w:rsidR="004142E6">
        <w:rPr>
          <w:rFonts w:ascii="Times New Roman" w:hAnsi="Times New Roman" w:cs="Times New Roman"/>
          <w:b/>
        </w:rPr>
        <w:t>2017</w:t>
      </w:r>
      <w:r w:rsidR="00A55266">
        <w:rPr>
          <w:rFonts w:ascii="Times New Roman" w:hAnsi="Times New Roman" w:cs="Times New Roman"/>
          <w:b/>
        </w:rPr>
        <w:t xml:space="preserve">  jsou k nahlédnutí v kanceláři Obce Libel.</w:t>
      </w:r>
    </w:p>
    <w:p w:rsidR="00A55266" w:rsidRDefault="00EC4E0E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Přílohy : 1.</w:t>
      </w:r>
      <w:r w:rsidR="00A55266">
        <w:rPr>
          <w:rFonts w:ascii="Times New Roman" w:hAnsi="Times New Roman" w:cs="Times New Roman"/>
          <w:sz w:val="18"/>
          <w:szCs w:val="18"/>
        </w:rPr>
        <w:t xml:space="preserve"> Fin 2-12 Obec Libel k 31.12.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r w:rsidR="00A55266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A55266">
        <w:rPr>
          <w:rFonts w:ascii="Times New Roman" w:hAnsi="Times New Roman" w:cs="Times New Roman"/>
          <w:sz w:val="18"/>
          <w:szCs w:val="18"/>
        </w:rPr>
        <w:t>Rozvaha k 31.12.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3.</w:t>
      </w:r>
      <w:r w:rsidR="00A55266">
        <w:rPr>
          <w:rFonts w:ascii="Times New Roman" w:hAnsi="Times New Roman" w:cs="Times New Roman"/>
          <w:sz w:val="18"/>
          <w:szCs w:val="18"/>
        </w:rPr>
        <w:t>Výkaz zisku a ztrát k 31.12.</w:t>
      </w:r>
      <w:r w:rsidR="00EB118C">
        <w:rPr>
          <w:rFonts w:ascii="Times New Roman" w:hAnsi="Times New Roman" w:cs="Times New Roman"/>
          <w:sz w:val="18"/>
          <w:szCs w:val="18"/>
        </w:rPr>
        <w:t>201</w:t>
      </w:r>
      <w:r w:rsidR="004142E6">
        <w:rPr>
          <w:rFonts w:ascii="Times New Roman" w:hAnsi="Times New Roman" w:cs="Times New Roman"/>
          <w:sz w:val="18"/>
          <w:szCs w:val="18"/>
        </w:rPr>
        <w:t>7</w:t>
      </w:r>
      <w:r w:rsidR="00A55266">
        <w:rPr>
          <w:rFonts w:ascii="Times New Roman" w:hAnsi="Times New Roman" w:cs="Times New Roman"/>
          <w:sz w:val="18"/>
          <w:szCs w:val="18"/>
        </w:rPr>
        <w:t>,</w:t>
      </w:r>
      <w:r w:rsidR="00EB11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4. </w:t>
      </w:r>
      <w:r w:rsidR="00A55266">
        <w:rPr>
          <w:rFonts w:ascii="Times New Roman" w:hAnsi="Times New Roman" w:cs="Times New Roman"/>
          <w:sz w:val="18"/>
          <w:szCs w:val="18"/>
        </w:rPr>
        <w:t>Příloha k 31.12.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r w:rsidR="00EB118C">
        <w:rPr>
          <w:rFonts w:ascii="Times New Roman" w:hAnsi="Times New Roman" w:cs="Times New Roman"/>
          <w:sz w:val="18"/>
          <w:szCs w:val="18"/>
        </w:rPr>
        <w:t>,</w:t>
      </w:r>
    </w:p>
    <w:p w:rsidR="00EC4E0E" w:rsidRDefault="00A55266" w:rsidP="00B5133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EC4E0E">
        <w:rPr>
          <w:rFonts w:ascii="Times New Roman" w:hAnsi="Times New Roman" w:cs="Times New Roman"/>
          <w:sz w:val="18"/>
          <w:szCs w:val="18"/>
        </w:rPr>
        <w:t>5.</w:t>
      </w:r>
      <w:r>
        <w:rPr>
          <w:rFonts w:ascii="Times New Roman" w:hAnsi="Times New Roman" w:cs="Times New Roman"/>
          <w:sz w:val="18"/>
          <w:szCs w:val="18"/>
        </w:rPr>
        <w:t xml:space="preserve"> Zpráva o přezkoumání hospodaření Obce Libel za rok </w:t>
      </w:r>
      <w:r w:rsidR="004142E6">
        <w:rPr>
          <w:rFonts w:ascii="Times New Roman" w:hAnsi="Times New Roman" w:cs="Times New Roman"/>
          <w:sz w:val="18"/>
          <w:szCs w:val="18"/>
        </w:rPr>
        <w:t>2017</w:t>
      </w:r>
      <w:r w:rsidR="00EC4E0E">
        <w:rPr>
          <w:rFonts w:ascii="Times New Roman" w:hAnsi="Times New Roman" w:cs="Times New Roman"/>
          <w:sz w:val="18"/>
          <w:szCs w:val="18"/>
        </w:rPr>
        <w:t>, 6.</w:t>
      </w:r>
      <w:r>
        <w:rPr>
          <w:rFonts w:ascii="Times New Roman" w:hAnsi="Times New Roman" w:cs="Times New Roman"/>
          <w:sz w:val="18"/>
          <w:szCs w:val="18"/>
        </w:rPr>
        <w:t xml:space="preserve"> Záp</w:t>
      </w:r>
      <w:r w:rsidR="0050012D">
        <w:rPr>
          <w:rFonts w:ascii="Times New Roman" w:hAnsi="Times New Roman" w:cs="Times New Roman"/>
          <w:sz w:val="18"/>
          <w:szCs w:val="18"/>
        </w:rPr>
        <w:t>is hlavní inventariz</w:t>
      </w:r>
      <w:r w:rsidR="00126BF3">
        <w:rPr>
          <w:rFonts w:ascii="Times New Roman" w:hAnsi="Times New Roman" w:cs="Times New Roman"/>
          <w:sz w:val="18"/>
          <w:szCs w:val="18"/>
        </w:rPr>
        <w:t>ační komise.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Zpracovala:  </w:t>
      </w:r>
      <w:proofErr w:type="spellStart"/>
      <w:r>
        <w:rPr>
          <w:rFonts w:ascii="Times New Roman" w:hAnsi="Times New Roman" w:cs="Times New Roman"/>
        </w:rPr>
        <w:t>Filingerová</w:t>
      </w:r>
      <w:proofErr w:type="spellEnd"/>
      <w:r>
        <w:rPr>
          <w:rFonts w:ascii="Times New Roman" w:hAnsi="Times New Roman" w:cs="Times New Roman"/>
        </w:rPr>
        <w:t xml:space="preserve"> Radka </w:t>
      </w:r>
      <w:r w:rsidR="00403C8F">
        <w:rPr>
          <w:rFonts w:ascii="Times New Roman" w:hAnsi="Times New Roman" w:cs="Times New Roman"/>
        </w:rPr>
        <w:t>, účetní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ab/>
        <w:t xml:space="preserve">                                       </w:t>
      </w:r>
      <w:r w:rsidR="00A55266">
        <w:rPr>
          <w:rFonts w:ascii="Times New Roman" w:hAnsi="Times New Roman" w:cs="Times New Roman"/>
        </w:rPr>
        <w:t>………………………</w:t>
      </w:r>
      <w:r w:rsidR="00403C8F">
        <w:rPr>
          <w:rFonts w:ascii="Times New Roman" w:hAnsi="Times New Roman" w:cs="Times New Roman"/>
        </w:rPr>
        <w:t>…</w:t>
      </w:r>
    </w:p>
    <w:p w:rsidR="00A55266" w:rsidRDefault="008B7998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</w:t>
      </w:r>
      <w:proofErr w:type="spellStart"/>
      <w:r>
        <w:rPr>
          <w:rFonts w:ascii="Times New Roman" w:hAnsi="Times New Roman" w:cs="Times New Roman"/>
        </w:rPr>
        <w:t>Libli</w:t>
      </w:r>
      <w:proofErr w:type="spellEnd"/>
      <w:r>
        <w:rPr>
          <w:rFonts w:ascii="Times New Roman" w:hAnsi="Times New Roman" w:cs="Times New Roman"/>
        </w:rPr>
        <w:t xml:space="preserve"> </w:t>
      </w:r>
      <w:r w:rsidR="004142E6">
        <w:rPr>
          <w:rFonts w:ascii="Times New Roman" w:hAnsi="Times New Roman" w:cs="Times New Roman"/>
        </w:rPr>
        <w:t>9.5.2018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Předkládá: </w:t>
      </w:r>
      <w:r w:rsidR="004142E6">
        <w:rPr>
          <w:rFonts w:ascii="Times New Roman" w:hAnsi="Times New Roman" w:cs="Times New Roman"/>
        </w:rPr>
        <w:t>Šedová Božena, starostka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03C8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…………………………</w:t>
      </w:r>
    </w:p>
    <w:p w:rsidR="008B7998" w:rsidRDefault="008B7998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A55266" w:rsidP="00A55266">
      <w:pPr>
        <w:spacing w:after="0" w:line="240" w:lineRule="auto"/>
        <w:rPr>
          <w:rFonts w:ascii="Times New Roman" w:hAnsi="Times New Roman" w:cs="Times New Roman"/>
        </w:rPr>
      </w:pPr>
    </w:p>
    <w:p w:rsidR="00A55266" w:rsidRDefault="002103C1" w:rsidP="00A5526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Vyvěšeno dne:</w:t>
      </w:r>
      <w:r w:rsidR="00403C8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="00403C8F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 </w:t>
      </w:r>
      <w:r w:rsidR="008B7998">
        <w:rPr>
          <w:rFonts w:ascii="Times New Roman" w:hAnsi="Times New Roman" w:cs="Times New Roman"/>
        </w:rPr>
        <w:t>…………………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A55266">
        <w:rPr>
          <w:rFonts w:ascii="Times New Roman" w:hAnsi="Times New Roman" w:cs="Times New Roman"/>
        </w:rPr>
        <w:tab/>
      </w:r>
      <w:r w:rsidR="00A55266">
        <w:rPr>
          <w:rFonts w:ascii="Times New Roman" w:hAnsi="Times New Roman" w:cs="Times New Roman"/>
        </w:rPr>
        <w:tab/>
        <w:t>Sejmuto dne:……………………………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32"/>
        <w:gridCol w:w="1354"/>
        <w:gridCol w:w="885"/>
        <w:gridCol w:w="1692"/>
        <w:gridCol w:w="934"/>
        <w:gridCol w:w="902"/>
        <w:gridCol w:w="903"/>
        <w:gridCol w:w="806"/>
        <w:gridCol w:w="1032"/>
      </w:tblGrid>
      <w:tr w:rsidR="00A55266" w:rsidTr="00A55266">
        <w:trPr>
          <w:trHeight w:val="262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hideMark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473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55266" w:rsidTr="00A55266">
        <w:trPr>
          <w:trHeight w:val="250"/>
        </w:trPr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:rsidR="00A55266" w:rsidRDefault="00A552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C695B" w:rsidRDefault="001C695B" w:rsidP="00A552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p w:rsidR="001C695B" w:rsidRDefault="001C695B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5"/>
        <w:gridCol w:w="1032"/>
        <w:gridCol w:w="2450"/>
        <w:gridCol w:w="1032"/>
        <w:gridCol w:w="1032"/>
        <w:gridCol w:w="1032"/>
        <w:gridCol w:w="1032"/>
      </w:tblGrid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right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290"/>
        </w:trPr>
        <w:tc>
          <w:tcPr>
            <w:tcW w:w="1355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B3421" w:rsidRPr="009B3421" w:rsidTr="009B3421">
        <w:trPr>
          <w:trHeight w:val="305"/>
        </w:trPr>
        <w:tc>
          <w:tcPr>
            <w:tcW w:w="1355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bottom w:val="nil"/>
            </w:tcBorders>
          </w:tcPr>
          <w:p w:rsidR="009B3421" w:rsidRPr="009B3421" w:rsidRDefault="009B3421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D03328">
        <w:trPr>
          <w:trHeight w:val="305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C695B" w:rsidRPr="009B3421" w:rsidTr="009B3421">
        <w:trPr>
          <w:trHeight w:val="290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1C695B" w:rsidRPr="009B3421" w:rsidRDefault="001C695B" w:rsidP="009B34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B3421" w:rsidRDefault="009B3421" w:rsidP="00982A77">
      <w:pPr>
        <w:spacing w:after="0" w:line="240" w:lineRule="auto"/>
        <w:rPr>
          <w:rFonts w:ascii="Times New Roman" w:hAnsi="Times New Roman" w:cs="Times New Roman"/>
        </w:rPr>
      </w:pPr>
    </w:p>
    <w:p w:rsidR="00353092" w:rsidRPr="006E653C" w:rsidRDefault="00353092" w:rsidP="00982A7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032"/>
        <w:gridCol w:w="353"/>
        <w:gridCol w:w="1001"/>
        <w:gridCol w:w="31"/>
        <w:gridCol w:w="854"/>
        <w:gridCol w:w="1596"/>
        <w:gridCol w:w="96"/>
        <w:gridCol w:w="936"/>
        <w:gridCol w:w="902"/>
        <w:gridCol w:w="130"/>
        <w:gridCol w:w="773"/>
        <w:gridCol w:w="259"/>
        <w:gridCol w:w="547"/>
        <w:gridCol w:w="485"/>
        <w:gridCol w:w="547"/>
      </w:tblGrid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305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53092" w:rsidRPr="00353092" w:rsidTr="00353092">
        <w:trPr>
          <w:gridAfter w:val="1"/>
          <w:wAfter w:w="545" w:type="dxa"/>
          <w:trHeight w:val="290"/>
        </w:trPr>
        <w:tc>
          <w:tcPr>
            <w:tcW w:w="1385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50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</w:tcPr>
          <w:p w:rsidR="00353092" w:rsidRPr="00353092" w:rsidRDefault="00353092" w:rsidP="003530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863D2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top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2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  <w:gridSpan w:val="2"/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gridSpan w:val="2"/>
            <w:tcBorders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 w:rsidTr="00DD1449">
        <w:trPr>
          <w:trHeight w:val="250"/>
        </w:trPr>
        <w:tc>
          <w:tcPr>
            <w:tcW w:w="103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A01F48" w:rsidRPr="00A01F48">
        <w:trPr>
          <w:trHeight w:val="250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F48" w:rsidRPr="00A01F48" w:rsidRDefault="00A01F48" w:rsidP="00A01F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106B9" w:rsidRPr="00A106B9" w:rsidRDefault="00A106B9" w:rsidP="00982A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106B9" w:rsidRPr="00A106B9" w:rsidSect="00D2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09A3"/>
    <w:rsid w:val="00031D34"/>
    <w:rsid w:val="00072293"/>
    <w:rsid w:val="000B5680"/>
    <w:rsid w:val="000C1C2A"/>
    <w:rsid w:val="00111A69"/>
    <w:rsid w:val="00126BF3"/>
    <w:rsid w:val="00142CED"/>
    <w:rsid w:val="001450D5"/>
    <w:rsid w:val="001A35C7"/>
    <w:rsid w:val="001C695B"/>
    <w:rsid w:val="00207F6C"/>
    <w:rsid w:val="002103C1"/>
    <w:rsid w:val="00231BA6"/>
    <w:rsid w:val="00240BB7"/>
    <w:rsid w:val="00270E9A"/>
    <w:rsid w:val="002C20CC"/>
    <w:rsid w:val="002C72BD"/>
    <w:rsid w:val="002D0705"/>
    <w:rsid w:val="002D46BC"/>
    <w:rsid w:val="003123C1"/>
    <w:rsid w:val="00341CAB"/>
    <w:rsid w:val="00353092"/>
    <w:rsid w:val="00365AA6"/>
    <w:rsid w:val="003A27F8"/>
    <w:rsid w:val="003B5512"/>
    <w:rsid w:val="003C546A"/>
    <w:rsid w:val="003D2136"/>
    <w:rsid w:val="003F0820"/>
    <w:rsid w:val="00403C8F"/>
    <w:rsid w:val="00404CC8"/>
    <w:rsid w:val="004142E6"/>
    <w:rsid w:val="00420935"/>
    <w:rsid w:val="00433D18"/>
    <w:rsid w:val="00441A50"/>
    <w:rsid w:val="00444483"/>
    <w:rsid w:val="004526A9"/>
    <w:rsid w:val="004C2CD3"/>
    <w:rsid w:val="0050012D"/>
    <w:rsid w:val="00515093"/>
    <w:rsid w:val="00536013"/>
    <w:rsid w:val="005377E5"/>
    <w:rsid w:val="0056037A"/>
    <w:rsid w:val="00562A7D"/>
    <w:rsid w:val="00587054"/>
    <w:rsid w:val="005A7A3E"/>
    <w:rsid w:val="005E4D7C"/>
    <w:rsid w:val="006362B6"/>
    <w:rsid w:val="00655035"/>
    <w:rsid w:val="006B7BF9"/>
    <w:rsid w:val="006C6A7B"/>
    <w:rsid w:val="006D27F5"/>
    <w:rsid w:val="006D5C9E"/>
    <w:rsid w:val="006E4992"/>
    <w:rsid w:val="006E653C"/>
    <w:rsid w:val="006F4961"/>
    <w:rsid w:val="00766747"/>
    <w:rsid w:val="00774FE2"/>
    <w:rsid w:val="00781E07"/>
    <w:rsid w:val="007C6DCD"/>
    <w:rsid w:val="007C743D"/>
    <w:rsid w:val="007E5673"/>
    <w:rsid w:val="008332CC"/>
    <w:rsid w:val="00863D2B"/>
    <w:rsid w:val="008B7998"/>
    <w:rsid w:val="0093023C"/>
    <w:rsid w:val="0096099A"/>
    <w:rsid w:val="00974B16"/>
    <w:rsid w:val="00980063"/>
    <w:rsid w:val="009801E6"/>
    <w:rsid w:val="00982A77"/>
    <w:rsid w:val="0098416D"/>
    <w:rsid w:val="009947AE"/>
    <w:rsid w:val="009B1441"/>
    <w:rsid w:val="009B3421"/>
    <w:rsid w:val="009C120F"/>
    <w:rsid w:val="009D4EE4"/>
    <w:rsid w:val="009E4A1D"/>
    <w:rsid w:val="00A01F48"/>
    <w:rsid w:val="00A106B9"/>
    <w:rsid w:val="00A1374A"/>
    <w:rsid w:val="00A27004"/>
    <w:rsid w:val="00A33AFD"/>
    <w:rsid w:val="00A55266"/>
    <w:rsid w:val="00A57CB6"/>
    <w:rsid w:val="00A73F1E"/>
    <w:rsid w:val="00AD4B6C"/>
    <w:rsid w:val="00B16BD6"/>
    <w:rsid w:val="00B24DC6"/>
    <w:rsid w:val="00B5133D"/>
    <w:rsid w:val="00B57CA4"/>
    <w:rsid w:val="00BA37AE"/>
    <w:rsid w:val="00BA40D2"/>
    <w:rsid w:val="00BF5D9D"/>
    <w:rsid w:val="00C3042F"/>
    <w:rsid w:val="00C30895"/>
    <w:rsid w:val="00C71579"/>
    <w:rsid w:val="00CB7508"/>
    <w:rsid w:val="00CC542B"/>
    <w:rsid w:val="00D14D82"/>
    <w:rsid w:val="00D209A3"/>
    <w:rsid w:val="00D32489"/>
    <w:rsid w:val="00D526D1"/>
    <w:rsid w:val="00D53782"/>
    <w:rsid w:val="00D5385D"/>
    <w:rsid w:val="00DD1449"/>
    <w:rsid w:val="00DD4B2C"/>
    <w:rsid w:val="00E14954"/>
    <w:rsid w:val="00E20608"/>
    <w:rsid w:val="00E373AD"/>
    <w:rsid w:val="00E47456"/>
    <w:rsid w:val="00E52FBB"/>
    <w:rsid w:val="00EB118C"/>
    <w:rsid w:val="00EC4E0E"/>
    <w:rsid w:val="00EE5B39"/>
    <w:rsid w:val="00F56F63"/>
    <w:rsid w:val="00F57C15"/>
    <w:rsid w:val="00F736B5"/>
    <w:rsid w:val="00FA768C"/>
    <w:rsid w:val="00FF1123"/>
    <w:rsid w:val="00FF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608"/>
  </w:style>
  <w:style w:type="paragraph" w:styleId="Nadpis5">
    <w:name w:val="heading 5"/>
    <w:basedOn w:val="Normln"/>
    <w:next w:val="Normln"/>
    <w:link w:val="Nadpis5Char"/>
    <w:semiHidden/>
    <w:unhideWhenUsed/>
    <w:qFormat/>
    <w:rsid w:val="00E20608"/>
    <w:pPr>
      <w:keepNext/>
      <w:suppressAutoHyphens/>
      <w:spacing w:after="0" w:line="240" w:lineRule="auto"/>
      <w:outlineLvl w:val="4"/>
    </w:pPr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E20608"/>
    <w:rPr>
      <w:rFonts w:ascii="Times New Roman" w:eastAsia="Arial Unicode MS" w:hAnsi="Times New Roman" w:cs="Times New Roman"/>
      <w:b/>
      <w:bCs/>
      <w:sz w:val="36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20608"/>
    <w:pPr>
      <w:ind w:left="720"/>
      <w:contextualSpacing/>
    </w:pPr>
  </w:style>
  <w:style w:type="paragraph" w:customStyle="1" w:styleId="Standard">
    <w:name w:val="Standard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customStyle="1" w:styleId="TableContents">
    <w:name w:val="Table Contents"/>
    <w:basedOn w:val="Standard"/>
    <w:qFormat/>
    <w:rsid w:val="00E20608"/>
  </w:style>
  <w:style w:type="paragraph" w:customStyle="1" w:styleId="TableHeading">
    <w:name w:val="Table Heading"/>
    <w:basedOn w:val="TableContents"/>
    <w:qFormat/>
    <w:rsid w:val="00E20608"/>
    <w:pPr>
      <w:jc w:val="center"/>
    </w:pPr>
    <w:rPr>
      <w:b/>
      <w:i/>
    </w:rPr>
  </w:style>
  <w:style w:type="paragraph" w:customStyle="1" w:styleId="Graphics">
    <w:name w:val="Graphics"/>
    <w:qFormat/>
    <w:rsid w:val="00E2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umberingSymbols">
    <w:name w:val="Numbering Symbols"/>
    <w:qFormat/>
    <w:rsid w:val="00E20608"/>
  </w:style>
  <w:style w:type="character" w:customStyle="1" w:styleId="Internetlink">
    <w:name w:val="Internet link"/>
    <w:qFormat/>
    <w:rsid w:val="00E20608"/>
    <w:rPr>
      <w:color w:val="00008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6A071A-2690-48D5-B8BC-EB101650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4416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uzivatel</cp:lastModifiedBy>
  <cp:revision>2</cp:revision>
  <cp:lastPrinted>2015-06-01T08:29:00Z</cp:lastPrinted>
  <dcterms:created xsi:type="dcterms:W3CDTF">2018-09-05T09:11:00Z</dcterms:created>
  <dcterms:modified xsi:type="dcterms:W3CDTF">2018-09-05T09:11:00Z</dcterms:modified>
</cp:coreProperties>
</file>